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93ED" w14:textId="374E59A1" w:rsidR="00094142" w:rsidRDefault="00094142" w:rsidP="00094142">
      <w:pPr>
        <w:tabs>
          <w:tab w:val="left" w:pos="225"/>
          <w:tab w:val="center" w:pos="4249"/>
        </w:tabs>
        <w:rPr>
          <w:rFonts w:asciiTheme="majorHAnsi" w:hAnsiTheme="majorHAnsi" w:cstheme="majorHAnsi"/>
          <w:b/>
        </w:rPr>
      </w:pPr>
      <w:r w:rsidRPr="00505F89">
        <w:rPr>
          <w:rFonts w:asciiTheme="majorHAnsi" w:hAnsiTheme="majorHAnsi" w:cstheme="majorHAnsi"/>
          <w:b/>
        </w:rPr>
        <w:tab/>
      </w:r>
      <w:r w:rsidRPr="00505F89">
        <w:rPr>
          <w:rFonts w:asciiTheme="majorHAnsi" w:hAnsiTheme="majorHAnsi" w:cstheme="majorHAnsi"/>
          <w:b/>
        </w:rPr>
        <w:tab/>
        <w:t xml:space="preserve">CONTRATOS </w:t>
      </w:r>
      <w:r w:rsidR="00440879">
        <w:rPr>
          <w:rFonts w:asciiTheme="majorHAnsi" w:hAnsiTheme="majorHAnsi" w:cstheme="majorHAnsi"/>
          <w:b/>
        </w:rPr>
        <w:t>RÍO HORTEGA</w:t>
      </w:r>
    </w:p>
    <w:tbl>
      <w:tblPr>
        <w:tblStyle w:val="Tabladelista1clara-nfasis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94142" w:rsidRPr="0019372D" w14:paraId="05A6DD9C" w14:textId="77777777" w:rsidTr="00193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2A57CED7" w14:textId="1765377D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OBJETO</w:t>
            </w:r>
          </w:p>
        </w:tc>
      </w:tr>
      <w:tr w:rsidR="00094142" w:rsidRPr="0019372D" w14:paraId="7218DFF9" w14:textId="77777777" w:rsidTr="00094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36E108BC" w14:textId="2B16D9B1" w:rsidR="00094142" w:rsidRPr="00AF3BDF" w:rsidRDefault="00AF3BDF" w:rsidP="00AF3BD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AF3BDF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-</w:t>
            </w:r>
            <w:r w:rsidRPr="00AF3BDF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Pr="00AF3BDF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Contratación de profesionales que hayan superado la FSE, para el desarrollo de un plan de formación en investigación en ciencias y tecnologías de la salud que simultanearán con actividad asistencial correspondiente a su especialidad.</w:t>
            </w:r>
          </w:p>
        </w:tc>
      </w:tr>
      <w:tr w:rsidR="00094142" w:rsidRPr="0019372D" w14:paraId="6B33DD1A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6B63B56C" w14:textId="3F2105D2" w:rsidR="00094142" w:rsidRPr="0019372D" w:rsidRDefault="00F83117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ENTIDADES BENEFICIARIAS Y </w:t>
            </w:r>
            <w:r w:rsidR="00094142" w:rsidRPr="0019372D">
              <w:rPr>
                <w:rFonts w:cstheme="minorHAnsi"/>
                <w:sz w:val="22"/>
                <w:szCs w:val="22"/>
              </w:rPr>
              <w:t>CARACTERÍSITICAS DE GRUPOS</w:t>
            </w:r>
            <w:r>
              <w:rPr>
                <w:rFonts w:cstheme="minorHAnsi"/>
                <w:sz w:val="22"/>
                <w:szCs w:val="22"/>
              </w:rPr>
              <w:t xml:space="preserve"> DE INVESTIGACIÓN</w:t>
            </w:r>
          </w:p>
        </w:tc>
      </w:tr>
      <w:tr w:rsidR="00FA1961" w:rsidRPr="00FA1961" w14:paraId="71D1DB75" w14:textId="77777777" w:rsidTr="00B64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20A14223" w14:textId="2C8D7938" w:rsidR="00DD1CF2" w:rsidRPr="00DD1CF2" w:rsidRDefault="00DD1CF2" w:rsidP="00DD1C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ES"/>
              </w:rPr>
            </w:pPr>
            <w:r w:rsidRPr="00DD1CF2">
              <w:rPr>
                <w:rFonts w:cstheme="minorHAnsi"/>
                <w:b w:val="0"/>
                <w:bCs w:val="0"/>
                <w:lang w:val="es-ES"/>
              </w:rPr>
              <w:t>- Entidades sanitarias de titularidad pública de entre las contempladas en el artículo</w:t>
            </w:r>
          </w:p>
          <w:p w14:paraId="3987480D" w14:textId="77777777" w:rsidR="00DD1CF2" w:rsidRPr="00DD1CF2" w:rsidRDefault="00DD1CF2" w:rsidP="00DD1CF2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lang w:val="es-ES"/>
              </w:rPr>
            </w:pPr>
            <w:r w:rsidRPr="00DD1CF2">
              <w:rPr>
                <w:rFonts w:cstheme="minorHAnsi"/>
                <w:b w:val="0"/>
                <w:bCs w:val="0"/>
                <w:lang w:val="es-ES"/>
              </w:rPr>
              <w:t>5.1 apartado 2º de la Orden de bases, con actividad clínico</w:t>
            </w:r>
          </w:p>
          <w:p w14:paraId="4681F7E9" w14:textId="05F758B9" w:rsidR="00FA1961" w:rsidRPr="00FA1961" w:rsidRDefault="00DD1CF2" w:rsidP="00DD1CF2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 L</w:t>
            </w:r>
            <w:r w:rsidR="00FA1961" w:rsidRPr="00FA1961">
              <w:rPr>
                <w:rFonts w:cstheme="minorHAnsi"/>
                <w:b w:val="0"/>
                <w:bCs w:val="0"/>
                <w:lang w:val="es-ES"/>
              </w:rPr>
              <w:t xml:space="preserve">os grupos de investigación receptores deberán estar dirigidos por una persona </w:t>
            </w:r>
          </w:p>
          <w:p w14:paraId="03108F13" w14:textId="77777777" w:rsidR="00FA1961" w:rsidRPr="00FA1961" w:rsidRDefault="00FA1961" w:rsidP="00FA1961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investigadora que cumpla con alguna de las vinculaciones establecidas en el artículo </w:t>
            </w:r>
          </w:p>
          <w:p w14:paraId="2D4D7A49" w14:textId="77777777" w:rsidR="00FA1961" w:rsidRPr="00FA1961" w:rsidRDefault="00FA1961" w:rsidP="00FA1961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3.4 en un centro asistencial de titularidad pública directa del SNS y desempeñar su </w:t>
            </w:r>
          </w:p>
          <w:p w14:paraId="05554BF3" w14:textId="3CCBC2F7" w:rsidR="00FA1961" w:rsidRPr="00FA1961" w:rsidRDefault="00FA1961" w:rsidP="00FA1961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actividad en dicho centro.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br/>
              <w:t xml:space="preserve">- 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No podrán concurrir como jefes de grupo en esta convocatoria quienes se </w:t>
            </w:r>
            <w:proofErr w:type="gramStart"/>
            <w:r w:rsidRPr="00FA1961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encontraran</w:t>
            </w:r>
            <w:proofErr w:type="gramEnd"/>
            <w:r w:rsidRPr="00FA1961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</w:p>
          <w:p w14:paraId="344F50EA" w14:textId="77777777" w:rsidR="00FA1961" w:rsidRPr="00FA1961" w:rsidRDefault="00FA1961" w:rsidP="00FA1961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dirigiendo la actividad de investigadores Río Hortega con contrato concedido y en activo </w:t>
            </w:r>
          </w:p>
          <w:p w14:paraId="563CB3FD" w14:textId="61DFFE38" w:rsidR="00AF3BDF" w:rsidRPr="00FA1961" w:rsidRDefault="00FA1961" w:rsidP="00FA1961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correspondientes a la convocatoria 2024 de la AES.</w:t>
            </w:r>
          </w:p>
        </w:tc>
      </w:tr>
      <w:tr w:rsidR="00094142" w:rsidRPr="0019372D" w14:paraId="0C1BBEB6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0F6761B3" w14:textId="0F20CAFD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REQUISITOS DE LAS PERSONAS CANDIDATAS</w:t>
            </w:r>
          </w:p>
        </w:tc>
      </w:tr>
      <w:tr w:rsidR="00FA1961" w:rsidRPr="00FA1961" w14:paraId="5182EEAE" w14:textId="77777777" w:rsidTr="00521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0D4412EE" w14:textId="5AD18D10" w:rsidR="00F35C15" w:rsidRPr="00FA1961" w:rsidRDefault="00FA1961" w:rsidP="00FA1961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es-ES"/>
              </w:rPr>
            </w:pPr>
            <w:r w:rsidRPr="00FA1961">
              <w:rPr>
                <w:rFonts w:cstheme="minorHAnsi"/>
                <w:b w:val="0"/>
                <w:bCs w:val="0"/>
              </w:rPr>
              <w:t xml:space="preserve">- Estar en posesión del título oficial de Especialidad Médica (MIR), Farmacéutica (FIR), 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>o del certificado oficial de especialidad en Biología (BIR), Química (QIR), Bioquímica, Psicología (PIR), Enfermería (EIR) o Radiofísica Hospitalaria (RIR).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cr/>
            </w:r>
            <w:r w:rsidR="00F35C15" w:rsidRPr="00FA1961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- Haber finalizado el programa de FSE que habilita para participar en esta actuación durante el año 20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20</w:t>
            </w:r>
            <w:r w:rsidR="00F35C15" w:rsidRPr="00FA1961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, o en fecha posterior, incluyendo a los que lo hagan en 202</w:t>
            </w:r>
            <w:r w:rsidR="00DD1CF2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5</w:t>
            </w:r>
            <w:r w:rsidR="00F35C15" w:rsidRPr="00FA1961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, siempre que sea con anterioridad a la fecha que se establezca para la finalización del plazo de alegaciones a la resolución provisional de concesión.</w:t>
            </w:r>
          </w:p>
          <w:p w14:paraId="705A412A" w14:textId="767C38A5" w:rsidR="00F35C15" w:rsidRPr="00FA1961" w:rsidRDefault="00F35C15" w:rsidP="00F35C15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- 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No estar disfrutando de un Contrato Río Hortega en el momento de la solicitud, ni haberlo completado con anterioridad.</w:t>
            </w:r>
          </w:p>
        </w:tc>
      </w:tr>
      <w:tr w:rsidR="00094142" w:rsidRPr="0019372D" w14:paraId="13B69D65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2AC647A0" w14:textId="122D7F06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CARACTERÍSTICAS DEL CONTRATO</w:t>
            </w:r>
          </w:p>
        </w:tc>
      </w:tr>
      <w:tr w:rsidR="00FA1961" w:rsidRPr="00FA1961" w14:paraId="72E41216" w14:textId="77777777" w:rsidTr="00A14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7A20442F" w14:textId="0764F7AD" w:rsidR="00094142" w:rsidRPr="00FA1961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>- Duración:</w:t>
            </w:r>
            <w:r w:rsidR="00AF3BDF"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AF3BDF" w:rsidRPr="00FA1961">
              <w:rPr>
                <w:rFonts w:cstheme="minorHAnsi"/>
                <w:sz w:val="22"/>
                <w:szCs w:val="22"/>
              </w:rPr>
              <w:t>2 años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5E3A0524" w14:textId="53D14570" w:rsidR="00094142" w:rsidRPr="00FA1961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color w:val="FF0000"/>
                <w:sz w:val="22"/>
                <w:szCs w:val="22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-Modalidad de contratación: </w:t>
            </w:r>
            <w:r w:rsidR="00AF3BDF" w:rsidRPr="00FA1961">
              <w:rPr>
                <w:rFonts w:cstheme="minorHAnsi"/>
                <w:b w:val="0"/>
                <w:bCs w:val="0"/>
                <w:sz w:val="22"/>
                <w:szCs w:val="22"/>
              </w:rPr>
              <w:t>C</w:t>
            </w:r>
            <w:r w:rsidR="00AF3BDF" w:rsidRPr="00FA1961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ualquier modalidad de contratación acorde con la normativa vigente</w:t>
            </w:r>
          </w:p>
        </w:tc>
      </w:tr>
      <w:tr w:rsidR="00094142" w:rsidRPr="0019372D" w14:paraId="3C4FB43D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0E465C4D" w14:textId="1D59A0A3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DOTACIÓN ECONÓMICA</w:t>
            </w:r>
          </w:p>
        </w:tc>
      </w:tr>
      <w:tr w:rsidR="007C18E4" w:rsidRPr="007C18E4" w14:paraId="1B1FBFFF" w14:textId="77777777" w:rsidTr="00CC2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5FF48A4A" w14:textId="7275BD78" w:rsidR="00094142" w:rsidRPr="007C18E4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7C18E4">
              <w:rPr>
                <w:rFonts w:cstheme="minorHAnsi"/>
                <w:b w:val="0"/>
                <w:bCs w:val="0"/>
                <w:sz w:val="22"/>
                <w:szCs w:val="22"/>
              </w:rPr>
              <w:t>-Retribución anual bruta (</w:t>
            </w:r>
            <w:r w:rsidR="00DD1CF2">
              <w:rPr>
                <w:rFonts w:cstheme="minorHAnsi"/>
                <w:b w:val="0"/>
                <w:bCs w:val="0"/>
                <w:sz w:val="22"/>
                <w:szCs w:val="22"/>
              </w:rPr>
              <w:t xml:space="preserve">distribuidos entre </w:t>
            </w:r>
            <w:r w:rsidRPr="007C18E4">
              <w:rPr>
                <w:rFonts w:cstheme="minorHAnsi"/>
                <w:b w:val="0"/>
                <w:bCs w:val="0"/>
                <w:sz w:val="22"/>
                <w:szCs w:val="22"/>
              </w:rPr>
              <w:t>12</w:t>
            </w:r>
            <w:r w:rsidR="00DD1CF2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o </w:t>
            </w:r>
            <w:r w:rsidRPr="007C18E4">
              <w:rPr>
                <w:rFonts w:cstheme="minorHAnsi"/>
                <w:b w:val="0"/>
                <w:bCs w:val="0"/>
                <w:sz w:val="22"/>
                <w:szCs w:val="22"/>
              </w:rPr>
              <w:t>14 pagas):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85"/>
              <w:gridCol w:w="2986"/>
            </w:tblGrid>
            <w:tr w:rsidR="007C18E4" w:rsidRPr="007C18E4" w14:paraId="50786C1A" w14:textId="77777777" w:rsidTr="00E00EE1">
              <w:trPr>
                <w:trHeight w:val="346"/>
                <w:jc w:val="center"/>
              </w:trPr>
              <w:tc>
                <w:tcPr>
                  <w:tcW w:w="5971" w:type="dxa"/>
                  <w:gridSpan w:val="2"/>
                  <w:vAlign w:val="center"/>
                </w:tcPr>
                <w:p w14:paraId="225FCE42" w14:textId="500E1D01" w:rsidR="00AF3BDF" w:rsidRPr="007C18E4" w:rsidRDefault="00AF3BDF" w:rsidP="00AF3BDF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</w:rPr>
                  </w:pPr>
                  <w:r w:rsidRPr="007C18E4">
                    <w:rPr>
                      <w:rFonts w:cstheme="minorHAnsi"/>
                      <w:b/>
                      <w:bCs/>
                    </w:rPr>
                    <w:t>Profesionales cuya FSE sea de 3 años</w:t>
                  </w:r>
                </w:p>
              </w:tc>
            </w:tr>
            <w:tr w:rsidR="007C18E4" w:rsidRPr="007C18E4" w14:paraId="69CB2A0D" w14:textId="77777777" w:rsidTr="00094142">
              <w:trPr>
                <w:trHeight w:val="346"/>
                <w:jc w:val="center"/>
              </w:trPr>
              <w:tc>
                <w:tcPr>
                  <w:tcW w:w="2985" w:type="dxa"/>
                  <w:vAlign w:val="center"/>
                </w:tcPr>
                <w:p w14:paraId="436A18F1" w14:textId="269F4F59" w:rsidR="00094142" w:rsidRPr="007C18E4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7C18E4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 xml:space="preserve">1º </w:t>
                  </w:r>
                  <w:r w:rsidR="00AF3BDF" w:rsidRPr="007C18E4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año</w:t>
                  </w:r>
                </w:p>
              </w:tc>
              <w:tc>
                <w:tcPr>
                  <w:tcW w:w="2986" w:type="dxa"/>
                  <w:vAlign w:val="center"/>
                </w:tcPr>
                <w:p w14:paraId="584BAA25" w14:textId="06D1CE11" w:rsidR="00094142" w:rsidRPr="007C18E4" w:rsidRDefault="00AF3BDF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7C18E4">
                    <w:rPr>
                      <w:rFonts w:cstheme="minorHAnsi"/>
                      <w:sz w:val="22"/>
                      <w:szCs w:val="22"/>
                    </w:rPr>
                    <w:t>20.600 €</w:t>
                  </w:r>
                </w:p>
              </w:tc>
            </w:tr>
            <w:tr w:rsidR="007C18E4" w:rsidRPr="007C18E4" w14:paraId="5834D782" w14:textId="77777777" w:rsidTr="00094142">
              <w:trPr>
                <w:trHeight w:val="346"/>
                <w:jc w:val="center"/>
              </w:trPr>
              <w:tc>
                <w:tcPr>
                  <w:tcW w:w="2985" w:type="dxa"/>
                  <w:vAlign w:val="center"/>
                </w:tcPr>
                <w:p w14:paraId="3219220B" w14:textId="375B6974" w:rsidR="00094142" w:rsidRPr="007C18E4" w:rsidRDefault="00AF3BDF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7C18E4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2</w:t>
                  </w:r>
                  <w:r w:rsidR="00094142" w:rsidRPr="007C18E4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º año</w:t>
                  </w:r>
                </w:p>
              </w:tc>
              <w:tc>
                <w:tcPr>
                  <w:tcW w:w="2986" w:type="dxa"/>
                  <w:vAlign w:val="center"/>
                </w:tcPr>
                <w:p w14:paraId="093BDA5D" w14:textId="4B6BEF8D" w:rsidR="00094142" w:rsidRPr="007C18E4" w:rsidRDefault="00AF3BDF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7C18E4">
                    <w:rPr>
                      <w:rFonts w:cstheme="minorHAnsi"/>
                      <w:sz w:val="22"/>
                      <w:szCs w:val="22"/>
                    </w:rPr>
                    <w:t>21.800 €</w:t>
                  </w:r>
                </w:p>
              </w:tc>
            </w:tr>
            <w:tr w:rsidR="007C18E4" w:rsidRPr="007C18E4" w14:paraId="77508C29" w14:textId="77777777" w:rsidTr="000A4F33">
              <w:trPr>
                <w:trHeight w:val="346"/>
                <w:jc w:val="center"/>
              </w:trPr>
              <w:tc>
                <w:tcPr>
                  <w:tcW w:w="5971" w:type="dxa"/>
                  <w:gridSpan w:val="2"/>
                  <w:vAlign w:val="center"/>
                </w:tcPr>
                <w:p w14:paraId="710C1362" w14:textId="735C88FB" w:rsidR="00AF3BDF" w:rsidRPr="007C18E4" w:rsidRDefault="00AF3BDF" w:rsidP="00AF3BDF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</w:rPr>
                  </w:pPr>
                  <w:r w:rsidRPr="007C18E4">
                    <w:rPr>
                      <w:rFonts w:cstheme="minorHAnsi"/>
                      <w:b/>
                      <w:bCs/>
                    </w:rPr>
                    <w:t>Resto de profesionales</w:t>
                  </w:r>
                </w:p>
              </w:tc>
            </w:tr>
            <w:tr w:rsidR="007C18E4" w:rsidRPr="007C18E4" w14:paraId="30EEE493" w14:textId="77777777" w:rsidTr="00094142">
              <w:trPr>
                <w:trHeight w:val="346"/>
                <w:jc w:val="center"/>
              </w:trPr>
              <w:tc>
                <w:tcPr>
                  <w:tcW w:w="2985" w:type="dxa"/>
                  <w:vAlign w:val="center"/>
                </w:tcPr>
                <w:p w14:paraId="2E4FEA98" w14:textId="1BB2EC9B" w:rsidR="00AF3BDF" w:rsidRPr="007C18E4" w:rsidRDefault="00AF3BDF" w:rsidP="00AF3BDF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</w:rPr>
                  </w:pPr>
                  <w:r w:rsidRPr="007C18E4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1º año</w:t>
                  </w:r>
                </w:p>
              </w:tc>
              <w:tc>
                <w:tcPr>
                  <w:tcW w:w="2986" w:type="dxa"/>
                  <w:vAlign w:val="center"/>
                </w:tcPr>
                <w:p w14:paraId="4AE79293" w14:textId="0EEB55DB" w:rsidR="00AF3BDF" w:rsidRPr="007C18E4" w:rsidRDefault="00AF3BDF" w:rsidP="00AF3BDF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</w:rPr>
                  </w:pPr>
                  <w:r w:rsidRPr="007C18E4">
                    <w:rPr>
                      <w:rFonts w:cstheme="minorHAnsi"/>
                    </w:rPr>
                    <w:t>30.000 €</w:t>
                  </w:r>
                </w:p>
              </w:tc>
            </w:tr>
            <w:tr w:rsidR="007C18E4" w:rsidRPr="007C18E4" w14:paraId="15E402BC" w14:textId="77777777" w:rsidTr="00094142">
              <w:trPr>
                <w:trHeight w:val="346"/>
                <w:jc w:val="center"/>
              </w:trPr>
              <w:tc>
                <w:tcPr>
                  <w:tcW w:w="2985" w:type="dxa"/>
                  <w:vAlign w:val="center"/>
                </w:tcPr>
                <w:p w14:paraId="193261C4" w14:textId="3A2BA810" w:rsidR="00AF3BDF" w:rsidRPr="007C18E4" w:rsidRDefault="00AF3BDF" w:rsidP="00AF3BDF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</w:rPr>
                  </w:pPr>
                  <w:r w:rsidRPr="007C18E4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2º año</w:t>
                  </w:r>
                </w:p>
              </w:tc>
              <w:tc>
                <w:tcPr>
                  <w:tcW w:w="2986" w:type="dxa"/>
                  <w:vAlign w:val="center"/>
                </w:tcPr>
                <w:p w14:paraId="3CDD6E7A" w14:textId="641DB73F" w:rsidR="00AF3BDF" w:rsidRPr="007C18E4" w:rsidRDefault="00AF3BDF" w:rsidP="00AF3BDF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</w:rPr>
                  </w:pPr>
                  <w:r w:rsidRPr="007C18E4">
                    <w:rPr>
                      <w:rFonts w:cstheme="minorHAnsi"/>
                    </w:rPr>
                    <w:t>35.000 €</w:t>
                  </w:r>
                </w:p>
              </w:tc>
            </w:tr>
          </w:tbl>
          <w:p w14:paraId="1A1462D2" w14:textId="7F37EE2E" w:rsidR="0019372D" w:rsidRPr="007C18E4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7C18E4">
              <w:rPr>
                <w:rFonts w:cstheme="minorHAnsi"/>
                <w:b w:val="0"/>
                <w:bCs w:val="0"/>
                <w:sz w:val="22"/>
                <w:szCs w:val="22"/>
              </w:rPr>
              <w:t>* Las cuotas empresariales a la Seguridad Social y resto de gastos de contratación correrán a cargo de la entidad beneficiaria.</w:t>
            </w:r>
          </w:p>
        </w:tc>
      </w:tr>
      <w:tr w:rsidR="00094142" w:rsidRPr="0019372D" w14:paraId="2F1E6484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67E3F442" w14:textId="4CF4C55E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Nº MÁXIMO DE SOLICITUDES Y CONCESIONES</w:t>
            </w:r>
          </w:p>
        </w:tc>
      </w:tr>
      <w:tr w:rsidR="007C18E4" w:rsidRPr="007C18E4" w14:paraId="3C008B34" w14:textId="77777777" w:rsidTr="004B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2A0925EC" w14:textId="3B60B5B8" w:rsidR="00094142" w:rsidRPr="007C18E4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C18E4">
              <w:rPr>
                <w:rFonts w:cstheme="minorHAnsi"/>
                <w:b w:val="0"/>
                <w:bCs w:val="0"/>
                <w:sz w:val="22"/>
                <w:szCs w:val="22"/>
              </w:rPr>
              <w:t>-Nº Máximo de solicitudes:</w:t>
            </w:r>
            <w:r w:rsidR="00F35C15" w:rsidRPr="007C18E4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="00F35C15" w:rsidRPr="007C18E4">
              <w:rPr>
                <w:rFonts w:cstheme="minorHAnsi"/>
                <w:sz w:val="22"/>
                <w:szCs w:val="22"/>
              </w:rPr>
              <w:t>14</w:t>
            </w:r>
            <w:r w:rsidRPr="007C18E4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19372D" w:rsidRPr="007C18E4">
              <w:rPr>
                <w:rFonts w:cstheme="minorHAnsi"/>
                <w:b w:val="0"/>
                <w:bCs w:val="0"/>
                <w:sz w:val="22"/>
                <w:szCs w:val="22"/>
              </w:rPr>
              <w:t>;</w:t>
            </w:r>
            <w:proofErr w:type="gramEnd"/>
            <w:r w:rsidR="0019372D" w:rsidRPr="007C18E4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7C18E4">
              <w:rPr>
                <w:rFonts w:cstheme="minorHAnsi"/>
                <w:b w:val="0"/>
                <w:bCs w:val="0"/>
                <w:sz w:val="22"/>
                <w:szCs w:val="22"/>
              </w:rPr>
              <w:t xml:space="preserve">Nº Máximo de concesiones: </w:t>
            </w:r>
            <w:r w:rsidR="00F35C15" w:rsidRPr="007C18E4">
              <w:rPr>
                <w:rFonts w:cstheme="minorHAnsi"/>
                <w:sz w:val="22"/>
                <w:szCs w:val="22"/>
              </w:rPr>
              <w:t>8</w:t>
            </w:r>
          </w:p>
        </w:tc>
      </w:tr>
      <w:tr w:rsidR="00094142" w:rsidRPr="0019372D" w14:paraId="0CA925AB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70266978" w14:textId="6296DD94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lastRenderedPageBreak/>
              <w:t>DOCUMENTACIÓN</w:t>
            </w:r>
          </w:p>
        </w:tc>
      </w:tr>
      <w:tr w:rsidR="00FA1961" w:rsidRPr="00FA1961" w14:paraId="3269F341" w14:textId="77777777" w:rsidTr="0067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49A53A8E" w14:textId="77777777" w:rsidR="00FA1961" w:rsidRPr="00FA1961" w:rsidRDefault="00FA1961" w:rsidP="00FA1961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a) Copia del </w:t>
            </w:r>
            <w:r w:rsidRPr="00DD1CF2">
              <w:rPr>
                <w:rFonts w:cstheme="minorHAnsi"/>
                <w:sz w:val="22"/>
                <w:szCs w:val="22"/>
              </w:rPr>
              <w:t>pasaporte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en vigor, únicamente en el caso de ciudadanos extranjeros no </w:t>
            </w:r>
          </w:p>
          <w:p w14:paraId="62C439CB" w14:textId="77777777" w:rsidR="00FA1961" w:rsidRPr="00FA1961" w:rsidRDefault="00FA1961" w:rsidP="00FA1961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>residentes en territorio español.</w:t>
            </w:r>
          </w:p>
          <w:p w14:paraId="67DB45F3" w14:textId="0F894433" w:rsidR="00FA1961" w:rsidRDefault="00FA1961" w:rsidP="00FA1961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b) </w:t>
            </w:r>
            <w:r w:rsidRPr="00DD1CF2">
              <w:rPr>
                <w:rFonts w:cstheme="minorHAnsi"/>
                <w:sz w:val="22"/>
                <w:szCs w:val="22"/>
              </w:rPr>
              <w:t>Título de FSE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homologado o reconocido por el organismo competente. En aquellos casos</w:t>
            </w:r>
            <w:r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en que no se haya prestado el consentimiento, no sea posible la verificación, o se haya </w:t>
            </w:r>
            <w:r>
              <w:rPr>
                <w:rFonts w:cstheme="minorHAnsi"/>
                <w:b w:val="0"/>
                <w:bCs w:val="0"/>
                <w:sz w:val="22"/>
                <w:szCs w:val="22"/>
              </w:rPr>
              <w:t>o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>btenido el título de FSE en el extranjero, se deberá aportar la documentación</w:t>
            </w:r>
            <w:r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>para acreditar el cumplimiento de este requisito.</w:t>
            </w:r>
          </w:p>
          <w:p w14:paraId="5A1CEEEC" w14:textId="2F4EB4AD" w:rsidR="00FA1961" w:rsidRDefault="00FA1961" w:rsidP="00FA1961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c) </w:t>
            </w:r>
            <w:r w:rsidRPr="00DD1CF2">
              <w:rPr>
                <w:rFonts w:cstheme="minorHAnsi"/>
                <w:sz w:val="22"/>
                <w:szCs w:val="22"/>
              </w:rPr>
              <w:t>Memoria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de la propuesta en castellano o en inglés, empleando exclusivamente el</w:t>
            </w:r>
            <w:r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>modelo normalizado correspondiente a las LEIS 2025.</w:t>
            </w:r>
          </w:p>
          <w:p w14:paraId="17CBC913" w14:textId="2F656CD6" w:rsidR="00FA1961" w:rsidRPr="00FA1961" w:rsidRDefault="00FA1961" w:rsidP="00FA1961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d) </w:t>
            </w:r>
            <w:r w:rsidRPr="00DD1CF2">
              <w:rPr>
                <w:rFonts w:cstheme="minorHAnsi"/>
                <w:sz w:val="22"/>
                <w:szCs w:val="22"/>
              </w:rPr>
              <w:t>Currículum Vitae Abreviado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(CVA-ISCIII) en castellano o en inglés generado de forma automática desde el editor CVN (http://cvn.fecyt.es/editor) o desde cualquier institución certificada en la norma CVN de la FECYT que ofrezca el servicio CVA-ISCIII, del jefe de grupo y de la persona candidata. Una vez cumplimentados, se adjuntarán a la solicitud a través de la aplicación informática.</w:t>
            </w:r>
          </w:p>
          <w:p w14:paraId="1124615E" w14:textId="77777777" w:rsidR="00FA1961" w:rsidRDefault="00FA1961" w:rsidP="00FA1961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e) </w:t>
            </w:r>
            <w:r w:rsidRPr="00DD1CF2">
              <w:rPr>
                <w:rFonts w:cstheme="minorHAnsi"/>
                <w:sz w:val="22"/>
                <w:szCs w:val="22"/>
              </w:rPr>
              <w:t>Carta de apoyo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a la persona candidata Río Hortega del jefe de servicio y representante legal de la entidad sanitaria, en modelo normalizado.</w:t>
            </w:r>
          </w:p>
          <w:p w14:paraId="789BA8DA" w14:textId="35C75A61" w:rsidR="00FA1961" w:rsidRDefault="00FA1961" w:rsidP="00FA1961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>f) En los supuestos descritos en el artículo 34. 2º, acreditación documental de tales circunstancias, que deberán señalarse, además, en la solicitud.</w:t>
            </w:r>
          </w:p>
          <w:p w14:paraId="6C567177" w14:textId="3537BA1E" w:rsidR="00FA1961" w:rsidRPr="00FA1961" w:rsidRDefault="00FA1961" w:rsidP="00FA1961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g) </w:t>
            </w:r>
            <w:r w:rsidRPr="00DD1CF2">
              <w:rPr>
                <w:rFonts w:cstheme="minorHAnsi"/>
                <w:sz w:val="22"/>
                <w:szCs w:val="22"/>
              </w:rPr>
              <w:t>Documentación acreditativa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de las </w:t>
            </w:r>
            <w:r w:rsidRPr="00DD1CF2">
              <w:rPr>
                <w:rFonts w:cstheme="minorHAnsi"/>
                <w:sz w:val="22"/>
                <w:szCs w:val="22"/>
              </w:rPr>
              <w:t>publicaciones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seleccionadas de no estar en</w:t>
            </w:r>
            <w:r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>acceso abierto.</w:t>
            </w:r>
          </w:p>
          <w:p w14:paraId="5D201246" w14:textId="341D96D9" w:rsidR="00F35C15" w:rsidRPr="00FA1961" w:rsidRDefault="00FA1961" w:rsidP="00FA1961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color w:val="FF0000"/>
                <w:sz w:val="22"/>
                <w:szCs w:val="22"/>
              </w:rPr>
            </w:pP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>2. Junto con el formulario normalizado de solicitud, los documentos contemplados en los párrafos c) y d) forman parte integrante de la solicitud para participar en esta actuación. La no presentación de los mismos en el plazo previsto en el artículo 7.6</w:t>
            </w:r>
            <w:r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FA1961">
              <w:rPr>
                <w:rFonts w:cstheme="minorHAnsi"/>
                <w:b w:val="0"/>
                <w:bCs w:val="0"/>
                <w:sz w:val="22"/>
                <w:szCs w:val="22"/>
              </w:rPr>
              <w:t>conllevará la exclusión de la solicitud durante la fase de admisión, de acuerdo con lo establecido en el artículo 7</w:t>
            </w:r>
            <w:r w:rsidR="00DD1CF2">
              <w:rPr>
                <w:rFonts w:cstheme="minorHAnsi"/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14:paraId="3BA34A84" w14:textId="77777777" w:rsidR="00094142" w:rsidRPr="00094142" w:rsidRDefault="00094142" w:rsidP="009D07C8">
      <w:pPr>
        <w:rPr>
          <w:lang w:val="es-ES_tradnl"/>
        </w:rPr>
      </w:pPr>
    </w:p>
    <w:sectPr w:rsidR="00094142" w:rsidRPr="000941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D792" w14:textId="77777777" w:rsidR="0030065D" w:rsidRDefault="0030065D" w:rsidP="004B6FBE">
      <w:pPr>
        <w:spacing w:after="0" w:line="240" w:lineRule="auto"/>
      </w:pPr>
      <w:r>
        <w:separator/>
      </w:r>
    </w:p>
  </w:endnote>
  <w:endnote w:type="continuationSeparator" w:id="0">
    <w:p w14:paraId="0A915B9A" w14:textId="77777777" w:rsidR="0030065D" w:rsidRDefault="0030065D" w:rsidP="004B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6840" w14:textId="77777777" w:rsidR="0030065D" w:rsidRDefault="0030065D" w:rsidP="004B6FBE">
      <w:pPr>
        <w:spacing w:after="0" w:line="240" w:lineRule="auto"/>
      </w:pPr>
      <w:r>
        <w:separator/>
      </w:r>
    </w:p>
  </w:footnote>
  <w:footnote w:type="continuationSeparator" w:id="0">
    <w:p w14:paraId="0E892075" w14:textId="77777777" w:rsidR="0030065D" w:rsidRDefault="0030065D" w:rsidP="004B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8149" w14:textId="510F0530" w:rsidR="004B6FBE" w:rsidRDefault="004B6FBE">
    <w:pPr>
      <w:pStyle w:val="Encabezado"/>
    </w:pPr>
    <w:r w:rsidRPr="00985CEC">
      <w:rPr>
        <w:noProof/>
      </w:rPr>
      <w:drawing>
        <wp:inline distT="0" distB="0" distL="0" distR="0" wp14:anchorId="4846D69F" wp14:editId="60A45B31">
          <wp:extent cx="2042364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179"/>
                  <a:stretch/>
                </pic:blipFill>
                <pic:spPr bwMode="auto">
                  <a:xfrm>
                    <a:off x="0" y="0"/>
                    <a:ext cx="2042364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336"/>
    <w:multiLevelType w:val="hybridMultilevel"/>
    <w:tmpl w:val="C1C066D4"/>
    <w:lvl w:ilvl="0" w:tplc="96D603C4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075BA"/>
    <w:multiLevelType w:val="hybridMultilevel"/>
    <w:tmpl w:val="D72EBE7A"/>
    <w:lvl w:ilvl="0" w:tplc="729C37A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E6595"/>
    <w:multiLevelType w:val="hybridMultilevel"/>
    <w:tmpl w:val="4EA4571C"/>
    <w:lvl w:ilvl="0" w:tplc="9334DD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D1050"/>
    <w:multiLevelType w:val="hybridMultilevel"/>
    <w:tmpl w:val="19E256A4"/>
    <w:lvl w:ilvl="0" w:tplc="D98081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C0242"/>
    <w:multiLevelType w:val="hybridMultilevel"/>
    <w:tmpl w:val="522E0E3C"/>
    <w:lvl w:ilvl="0" w:tplc="6FFC908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6831">
    <w:abstractNumId w:val="2"/>
  </w:num>
  <w:num w:numId="2" w16cid:durableId="983579320">
    <w:abstractNumId w:val="3"/>
  </w:num>
  <w:num w:numId="3" w16cid:durableId="541602457">
    <w:abstractNumId w:val="0"/>
  </w:num>
  <w:num w:numId="4" w16cid:durableId="1828285825">
    <w:abstractNumId w:val="4"/>
  </w:num>
  <w:num w:numId="5" w16cid:durableId="96161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42"/>
    <w:rsid w:val="00094142"/>
    <w:rsid w:val="0019372D"/>
    <w:rsid w:val="001B010D"/>
    <w:rsid w:val="002378C6"/>
    <w:rsid w:val="0030065D"/>
    <w:rsid w:val="00312F66"/>
    <w:rsid w:val="0041693C"/>
    <w:rsid w:val="00440879"/>
    <w:rsid w:val="004B6FBE"/>
    <w:rsid w:val="004D0919"/>
    <w:rsid w:val="007C18E4"/>
    <w:rsid w:val="009D07C8"/>
    <w:rsid w:val="00AF3BDF"/>
    <w:rsid w:val="00B45339"/>
    <w:rsid w:val="00B51967"/>
    <w:rsid w:val="00BF3342"/>
    <w:rsid w:val="00C2763E"/>
    <w:rsid w:val="00D74ECE"/>
    <w:rsid w:val="00DD1CF2"/>
    <w:rsid w:val="00E11F79"/>
    <w:rsid w:val="00F17880"/>
    <w:rsid w:val="00F35C15"/>
    <w:rsid w:val="00F513AB"/>
    <w:rsid w:val="00F83117"/>
    <w:rsid w:val="00FA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5646"/>
  <w15:chartTrackingRefBased/>
  <w15:docId w15:val="{50113C20-B3D0-4A20-AFFC-2283C87E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4142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11">
    <w:name w:val="Tabla de lista 1 clara - Énfasis 11"/>
    <w:basedOn w:val="Tablanormal"/>
    <w:next w:val="Tabladelista1clara-nfasis1"/>
    <w:uiPriority w:val="46"/>
    <w:rsid w:val="00094142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adelista1clara-nfasis1">
    <w:name w:val="List Table 1 Light Accent 1"/>
    <w:basedOn w:val="Tablanormal"/>
    <w:uiPriority w:val="46"/>
    <w:rsid w:val="00094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2378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6F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FBE"/>
  </w:style>
  <w:style w:type="paragraph" w:styleId="Piedepgina">
    <w:name w:val="footer"/>
    <w:basedOn w:val="Normal"/>
    <w:link w:val="PiedepginaCar"/>
    <w:uiPriority w:val="99"/>
    <w:unhideWhenUsed/>
    <w:rsid w:val="004B6F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A54C-DA11-437B-A566-5126B0C5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Sanchez Sierra</dc:creator>
  <cp:keywords/>
  <dc:description/>
  <cp:lastModifiedBy>Natalia Puente</cp:lastModifiedBy>
  <cp:revision>4</cp:revision>
  <cp:lastPrinted>2024-01-11T10:26:00Z</cp:lastPrinted>
  <dcterms:created xsi:type="dcterms:W3CDTF">2024-12-13T13:18:00Z</dcterms:created>
  <dcterms:modified xsi:type="dcterms:W3CDTF">2025-02-11T12:21:00Z</dcterms:modified>
</cp:coreProperties>
</file>